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年级：七年级   学科：生物          时间：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>1.18——1.20</w:t>
      </w: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“五环导学”学导练一体化教学设计</w:t>
      </w:r>
    </w:p>
    <w:p>
      <w:pPr>
        <w:spacing w:line="400" w:lineRule="exact"/>
        <w:jc w:val="left"/>
        <w:rPr>
          <w:rFonts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 xml:space="preserve">习题讲评课                                      </w:t>
      </w:r>
      <w:r>
        <w:rPr>
          <w:rFonts w:hint="eastAsia" w:asciiTheme="minorEastAsia" w:hAnsiTheme="minorEastAsia" w:eastAsiaTheme="minorEastAsia" w:cstheme="minorEastAsia"/>
          <w:b/>
          <w:sz w:val="28"/>
        </w:rPr>
        <w:t>课型：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>复习课</w:t>
      </w:r>
      <w:r>
        <w:rPr>
          <w:rFonts w:hint="eastAsia" w:asciiTheme="minorEastAsia" w:hAnsiTheme="minorEastAsia" w:eastAsiaTheme="minorEastAsia" w:cstheme="minorEastAsia"/>
          <w:b/>
          <w:sz w:val="28"/>
        </w:rPr>
        <w:t xml:space="preserve">              </w:t>
      </w:r>
    </w:p>
    <w:p>
      <w:pPr>
        <w:jc w:val="left"/>
      </w:pPr>
      <w:r>
        <w:drawing>
          <wp:inline distT="0" distB="0" distL="114300" distR="114300">
            <wp:extent cx="5774055" cy="2198370"/>
            <wp:effectExtent l="0" t="0" r="17145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考察知识点：如何盖盖玻片，先让盖玻片的一侧接触水滴，然后缓缓放下，作用是:避免产生气泡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《爱莲说》云“予独爱莲之出淤泥而不染。”检测发现，莲花池中有重金属元素，但莲花细胞中却没有发现该种物质，则细胞中起关键作用的结构是（        ）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细胞壁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B．细胞膜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C．细胞质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D．细胞核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该题考察 细胞膜的功能：控制物质进出和保护，学生容易与细胞壁混淆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387350</wp:posOffset>
            </wp:positionV>
            <wp:extent cx="1812290" cy="1165860"/>
            <wp:effectExtent l="0" t="0" r="16510" b="15240"/>
            <wp:wrapSquare wrapText="bothSides"/>
            <wp:docPr id="100029" name="图片 100029" descr="@@@55affda0ac094cf7a4ca657d78d7c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55affda0ac094cf7a4ca657d78d7c1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t>在学习过程中，框架图是帮助我们理解生物学概念的有效方法，下列选项中符合该框架图中Ⅰ、Ⅱ、Ⅲ对应关系的是（　　）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A．Ⅰ﹣人体组织、Ⅱ﹣保护组织、Ⅲ﹣结缔组织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B．Ⅰ﹣孢子植物、Ⅱ﹣藻类植物、Ⅲ﹣蕨类植物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C．Ⅰ﹣动物细胞、Ⅱ﹣细胞核、Ⅲ﹣叶绿体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D．Ⅰ﹣苔藓植物、Ⅱ﹣水绵、Ⅲ﹣地钱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人体中具有保护功能的为上皮组织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C选项中 动物细胞无叶绿体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D选项中的地钱为苔藓植物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洗洁精可用来清洗餐具、瓜果等。如果冲洗不干净，残留的洗洁精会影响人体健康吗？某生物小组进行了洗洁精是否对金鱼健康有影响的探究实验，请你和他们一起完成下面的探究。</w:t>
      </w:r>
    </w:p>
    <w:tbl>
      <w:tblPr>
        <w:tblStyle w:val="6"/>
        <w:tblpPr w:leftFromText="180" w:rightFromText="180" w:vertAnchor="text" w:horzAnchor="page" w:tblpX="130" w:tblpY="162"/>
        <w:tblOverlap w:val="never"/>
        <w:tblW w:w="153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3"/>
        <w:gridCol w:w="2064"/>
        <w:gridCol w:w="1710"/>
        <w:gridCol w:w="5859"/>
        <w:gridCol w:w="2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tblCellSpacing w:w="0" w:type="dxa"/>
        </w:trPr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水量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水温</w:t>
            </w:r>
          </w:p>
        </w:tc>
        <w:tc>
          <w:tcPr>
            <w:tcW w:w="5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加入的液体</w:t>
            </w:r>
          </w:p>
        </w:tc>
        <w:tc>
          <w:tcPr>
            <w:tcW w:w="2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</w:rPr>
              <w:t>种类、大小、健康状况相同的金鱼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鱼缸A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①毫升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25℃</w:t>
            </w:r>
          </w:p>
        </w:tc>
        <w:tc>
          <w:tcPr>
            <w:tcW w:w="5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5毫升③</w:t>
            </w:r>
          </w:p>
        </w:tc>
        <w:tc>
          <w:tcPr>
            <w:tcW w:w="2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</w:rPr>
              <w:t>10条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tblCellSpacing w:w="0" w:type="dxa"/>
        </w:trPr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鱼缸B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5000毫升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single"/>
              </w:rPr>
              <w:t>      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℃</w:t>
            </w:r>
          </w:p>
        </w:tc>
        <w:tc>
          <w:tcPr>
            <w:tcW w:w="5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5毫升清水</w:t>
            </w:r>
          </w:p>
        </w:tc>
        <w:tc>
          <w:tcPr>
            <w:tcW w:w="2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</w:rPr>
              <w:t>④条</w:t>
            </w: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(1)他们设计的实验方案如下表所示，请你在序号后的横线上补充适当内容。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①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/>
          <w:sz w:val="24"/>
          <w:szCs w:val="24"/>
          <w:lang w:val="en-US" w:eastAsia="zh-CN"/>
        </w:rPr>
        <w:t>；②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/>
          <w:sz w:val="24"/>
          <w:szCs w:val="24"/>
          <w:lang w:val="en-US" w:eastAsia="zh-CN"/>
        </w:rPr>
        <w:t>；③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/>
          <w:sz w:val="24"/>
          <w:szCs w:val="24"/>
          <w:lang w:val="en-US" w:eastAsia="zh-CN"/>
        </w:rPr>
        <w:t>；④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(2)将两个鱼缸放置于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/>
          <w:sz w:val="24"/>
          <w:szCs w:val="24"/>
          <w:lang w:val="en-US" w:eastAsia="zh-CN"/>
        </w:rPr>
        <w:t>且适宜的环境中，定期饲喂相同、等量的食物，观察金鱼的活动状况和进食情况。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(3)一段时间后，小李同学发现鱼缸A中金鱼的活动状况和进食情况都变差了，鱼缸B中的金鱼正常。由此可得出结论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：                                                 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本题主要考查学生的实验思维能力、对探究实验的理解能力，学生对探究实验的理解一直以来都不是很好，不能理解对照的作用，应注重培养学生的专业素养。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草莓成熟时节，气温逐渐升高，买回来的鲜草莓很容易腐烂变质。为了探究鲜草莓在低温下能否延长保鲜时间，某学校生物兴趣小组的同学们在一个草莓园里采摘了新鲜成熟草莓，并设计了以下实验方案：</w:t>
      </w:r>
    </w:p>
    <w:tbl>
      <w:tblPr>
        <w:tblW w:w="1504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543"/>
        <w:gridCol w:w="2423"/>
        <w:gridCol w:w="2494"/>
        <w:gridCol w:w="6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tblCellSpacing w:w="0" w:type="dxa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组别</w:t>
            </w:r>
          </w:p>
        </w:tc>
        <w:tc>
          <w:tcPr>
            <w:tcW w:w="2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实验材料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环境温度</w:t>
            </w:r>
          </w:p>
        </w:tc>
        <w:tc>
          <w:tcPr>
            <w:tcW w:w="2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保存时间</w:t>
            </w:r>
          </w:p>
        </w:tc>
        <w:tc>
          <w:tcPr>
            <w:tcW w:w="6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变质个数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甲</w:t>
            </w:r>
          </w:p>
        </w:tc>
        <w:tc>
          <w:tcPr>
            <w:tcW w:w="2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草莓50个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4℃</w:t>
            </w:r>
          </w:p>
        </w:tc>
        <w:tc>
          <w:tcPr>
            <w:tcW w:w="2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2天</w:t>
            </w:r>
          </w:p>
        </w:tc>
        <w:tc>
          <w:tcPr>
            <w:tcW w:w="6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tblCellSpacing w:w="0" w:type="dxa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乙</w:t>
            </w:r>
          </w:p>
        </w:tc>
        <w:tc>
          <w:tcPr>
            <w:tcW w:w="2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草莓50个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常温</w:t>
            </w:r>
          </w:p>
        </w:tc>
        <w:tc>
          <w:tcPr>
            <w:tcW w:w="2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（    ）天</w:t>
            </w:r>
          </w:p>
        </w:tc>
        <w:tc>
          <w:tcPr>
            <w:tcW w:w="6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default" w:ascii="Times New Roman" w:hAnsi="Times New Roman" w:cs="Times New Roman"/>
                <w:color w:val="000000"/>
                <w:sz w:val="48"/>
                <w:szCs w:val="48"/>
                <w:bdr w:val="none" w:color="auto" w:sz="0" w:space="0"/>
              </w:rPr>
              <w:t>46个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请分析实验，回答下列问题。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(1)表格的括号中应填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(2)甲、乙两组新鲜草莓的品种、大小、成熟状况、个数及其他环境条件均应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，其目的是保持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变量。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(3)设置乙组的作用是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(4)该实验重复做三次，是为了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（“减少”或“增加”）偶然性，提高准确性。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(5)实验结论：低温能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（选填“促进”或“抑制”）草莓变质。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使用显微镜观察标本时，若发现视野中光线较暗，则应改用（    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A．大光圈、平面镜    B．大光圈、凹面镜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4895215</wp:posOffset>
            </wp:positionH>
            <wp:positionV relativeFrom="paragraph">
              <wp:posOffset>126365</wp:posOffset>
            </wp:positionV>
            <wp:extent cx="1890395" cy="1166495"/>
            <wp:effectExtent l="0" t="0" r="14605" b="14605"/>
            <wp:wrapSquare wrapText="bothSides"/>
            <wp:docPr id="100013" name="图片 100013" descr="@@@9eef5885e0104e3787e50315c4337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9eef5885e0104e3787e50315c43377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C．小光圈、平面镜    D．小光圈、凹面镜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如图为用显微镜观察某标本细胞的两个视野图，从甲图转变为乙图的第一步操作是(　　)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A．换成高倍物镜         B．调节光圈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C．调节细准焦螺旋     D．装片向左移动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下面是制作洋葱鳞片叶内表皮细胞的临时装片过程示意图，请据图回答下列问题：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176530</wp:posOffset>
            </wp:positionV>
            <wp:extent cx="7376795" cy="1857375"/>
            <wp:effectExtent l="0" t="0" r="14605" b="9525"/>
            <wp:wrapSquare wrapText="bothSides"/>
            <wp:docPr id="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679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（1）观察制作洋葱鳞片叶内表皮细胞临时装片过程示意图，用字母和箭头表示该实验的正确操作顺序：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。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（2）图D的操作是在洁净的载玻片中央滴一滴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。如果是制作人口腔上皮细胞的临时装片，应在载玻片中央滴一滴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。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（3）图G的操作是在盖玻片的一侧滴一滴碘液，图F是用吸水纸在盖玻片的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吸引，重复2—3次，使碘液浸润标本的全部。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（4）图E这样的操作可以避免盖玻片下出现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而影响实验的观察。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在制作番茄果肉细胞临时装片时，要挑取少量果肉需要使用的器材是  (    )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744970" cy="1377950"/>
            <wp:effectExtent l="0" t="0" r="17780" b="1270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224790</wp:posOffset>
            </wp:positionV>
            <wp:extent cx="4022090" cy="1201420"/>
            <wp:effectExtent l="0" t="0" r="16510" b="17780"/>
            <wp:wrapSquare wrapText="bothSides"/>
            <wp:docPr id="100005" name="图片 100005" descr="@@@6a6e04a1-6832-4718-9169-cf2e8583c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6a6e04a1-6832-4718-9169-cf2e8583c1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下图所示显微镜的几个操作步骤，规范的操作顺序是（　　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A．①→②→③→④     B．③→①→②→④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C．①→③→④→②     D．③→①→④→②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289560</wp:posOffset>
            </wp:positionV>
            <wp:extent cx="7466965" cy="1600200"/>
            <wp:effectExtent l="0" t="0" r="635" b="0"/>
            <wp:wrapSquare wrapText="bothSides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69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下图是人的口腔上皮细胞时在显微镜下看到的几个视野，以下分析正确的是（　　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A．观察到视野④后，该同学向右上方移动装片可观察到视野②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B．要使视野①的亮度增加，可使用反光镜的平面镜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C．由②到⑤的操作是移动载玻片、转动转换器、调节细准焦螺旋、对光等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D．按照正确的操作顺序，该同学观察到的视野依次是③④②①⑤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下列哪组实验器材可转移液体（    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A．烧杯和玻璃棒     B．烧杯和三脚架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C．烧杯和滴管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D．镊子和试管夹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下列关于人和被子植物结构层次的叙述，正确的是（　　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A．人和被子植物体内贮存营养的结构都属于营养组织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B．被子植物的花、果实、种子构成生殖系统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C．人的小肠由四种组织构成，属于消化器官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D．人和被子植物体表有保护作用的结构都属于保护组织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洋葱鳞片叶内表皮细胞与人口腔上皮细胞相比，特有的结构是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我们走进森林，发现树干长了很多苔藓，以下原因分析不合理的是（    ）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A.树干背阴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B.森林里空气质量好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C.树干湿润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D.树皮为苔藓提供了有机物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生物圈中已知的绿色植物有50余万种，它们形态各异，生活环境也有差别。下列关于几种常见的植物叙述正确的是（     ）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A.卷柏、圆柏都可以通过产生种子繁殖后代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B.豌豆粒表层的种皮有保护幼嫩胚的作用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C.松是一种常见的绿色植物，其果实通常称为“球果”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D.海带依靠根吸收水和无机盐，依靠叶进行光合作用制造有机物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“春种一粒粟，秋收万颗子。”下列对种子知识的认识错误的是（    ）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A.胚是种子的主要部分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B.胚轴将来发育成茎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C.大豆种子有两片子叶，玉米种子有一片子叶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D.大豆种子的营养储存在子叶里，玉米种子的营养储存在胚乳里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1"/>
        <w:rFonts w:hint="eastAsia"/>
      </w:rPr>
      <w:t>www.jyfuture.net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1"/>
        <w:rFonts w:hint="eastAsia"/>
      </w:rPr>
      <w:t>www.jyfuture.com.cn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10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10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3E19D"/>
    <w:multiLevelType w:val="singleLevel"/>
    <w:tmpl w:val="8113E19D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41961216"/>
    <w:multiLevelType w:val="singleLevel"/>
    <w:tmpl w:val="4196121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DAyOTViM2MzZTI2ZDFiNmIxZmYwN2M5NDg5MjgifQ=="/>
  </w:docVars>
  <w:rsids>
    <w:rsidRoot w:val="3E6570D3"/>
    <w:rsid w:val="00023231"/>
    <w:rsid w:val="00070DEC"/>
    <w:rsid w:val="000875C6"/>
    <w:rsid w:val="000B2A48"/>
    <w:rsid w:val="000E3080"/>
    <w:rsid w:val="000F3329"/>
    <w:rsid w:val="001133C0"/>
    <w:rsid w:val="00122BE8"/>
    <w:rsid w:val="00155058"/>
    <w:rsid w:val="00186024"/>
    <w:rsid w:val="001C1642"/>
    <w:rsid w:val="001C1C02"/>
    <w:rsid w:val="001C4FD7"/>
    <w:rsid w:val="001E1F17"/>
    <w:rsid w:val="00204673"/>
    <w:rsid w:val="00250321"/>
    <w:rsid w:val="002612E7"/>
    <w:rsid w:val="00275D61"/>
    <w:rsid w:val="00295CA0"/>
    <w:rsid w:val="002E50B3"/>
    <w:rsid w:val="002F0036"/>
    <w:rsid w:val="002F0538"/>
    <w:rsid w:val="002F3418"/>
    <w:rsid w:val="00345453"/>
    <w:rsid w:val="003501AF"/>
    <w:rsid w:val="00357CEA"/>
    <w:rsid w:val="003801D0"/>
    <w:rsid w:val="003864C1"/>
    <w:rsid w:val="003A1684"/>
    <w:rsid w:val="003D1824"/>
    <w:rsid w:val="003F4BA9"/>
    <w:rsid w:val="004057C0"/>
    <w:rsid w:val="0041724D"/>
    <w:rsid w:val="0042531D"/>
    <w:rsid w:val="00447C62"/>
    <w:rsid w:val="004537CB"/>
    <w:rsid w:val="00485DBD"/>
    <w:rsid w:val="004907B8"/>
    <w:rsid w:val="00491A5A"/>
    <w:rsid w:val="00495FEC"/>
    <w:rsid w:val="004B5CB2"/>
    <w:rsid w:val="004C02C2"/>
    <w:rsid w:val="004D6269"/>
    <w:rsid w:val="004F13DC"/>
    <w:rsid w:val="0052491E"/>
    <w:rsid w:val="005319AC"/>
    <w:rsid w:val="005323A1"/>
    <w:rsid w:val="005B7984"/>
    <w:rsid w:val="005D6B4C"/>
    <w:rsid w:val="005E4E0E"/>
    <w:rsid w:val="005F4F82"/>
    <w:rsid w:val="00607A81"/>
    <w:rsid w:val="00610B2A"/>
    <w:rsid w:val="006111A1"/>
    <w:rsid w:val="00630F05"/>
    <w:rsid w:val="00634B32"/>
    <w:rsid w:val="00691C5A"/>
    <w:rsid w:val="006A252C"/>
    <w:rsid w:val="006C2DCB"/>
    <w:rsid w:val="006E288F"/>
    <w:rsid w:val="006E517A"/>
    <w:rsid w:val="006E6C98"/>
    <w:rsid w:val="00730B65"/>
    <w:rsid w:val="00783024"/>
    <w:rsid w:val="00783A5B"/>
    <w:rsid w:val="00783B43"/>
    <w:rsid w:val="00787731"/>
    <w:rsid w:val="007A51FF"/>
    <w:rsid w:val="007B0969"/>
    <w:rsid w:val="007D5FE3"/>
    <w:rsid w:val="007E0163"/>
    <w:rsid w:val="008B4506"/>
    <w:rsid w:val="008B6664"/>
    <w:rsid w:val="008D2BBB"/>
    <w:rsid w:val="008F2451"/>
    <w:rsid w:val="00913C53"/>
    <w:rsid w:val="009549BA"/>
    <w:rsid w:val="00987F65"/>
    <w:rsid w:val="0099282C"/>
    <w:rsid w:val="009B25EF"/>
    <w:rsid w:val="009D578A"/>
    <w:rsid w:val="00A26AAF"/>
    <w:rsid w:val="00A30D42"/>
    <w:rsid w:val="00A411D6"/>
    <w:rsid w:val="00A43A15"/>
    <w:rsid w:val="00A57D65"/>
    <w:rsid w:val="00A7670E"/>
    <w:rsid w:val="00A83C67"/>
    <w:rsid w:val="00A86BD6"/>
    <w:rsid w:val="00AA3FF4"/>
    <w:rsid w:val="00AB0118"/>
    <w:rsid w:val="00AD1B45"/>
    <w:rsid w:val="00AF11A4"/>
    <w:rsid w:val="00B12190"/>
    <w:rsid w:val="00B154A0"/>
    <w:rsid w:val="00B373AD"/>
    <w:rsid w:val="00B44C40"/>
    <w:rsid w:val="00B81A8A"/>
    <w:rsid w:val="00B9402F"/>
    <w:rsid w:val="00BA7B45"/>
    <w:rsid w:val="00BC1B14"/>
    <w:rsid w:val="00BD55B2"/>
    <w:rsid w:val="00BF609B"/>
    <w:rsid w:val="00C10262"/>
    <w:rsid w:val="00C10A24"/>
    <w:rsid w:val="00C23915"/>
    <w:rsid w:val="00C26941"/>
    <w:rsid w:val="00C71602"/>
    <w:rsid w:val="00C8580C"/>
    <w:rsid w:val="00CC08F1"/>
    <w:rsid w:val="00CD41C4"/>
    <w:rsid w:val="00D247E7"/>
    <w:rsid w:val="00D904CC"/>
    <w:rsid w:val="00D9381E"/>
    <w:rsid w:val="00D95415"/>
    <w:rsid w:val="00DB232C"/>
    <w:rsid w:val="00DC1BF0"/>
    <w:rsid w:val="00DC6EE5"/>
    <w:rsid w:val="00DD0117"/>
    <w:rsid w:val="00DE3B98"/>
    <w:rsid w:val="00E12049"/>
    <w:rsid w:val="00E2616C"/>
    <w:rsid w:val="00E3312C"/>
    <w:rsid w:val="00E46D46"/>
    <w:rsid w:val="00E71F55"/>
    <w:rsid w:val="00E93209"/>
    <w:rsid w:val="00EB22CD"/>
    <w:rsid w:val="00ED1CBA"/>
    <w:rsid w:val="00EE297C"/>
    <w:rsid w:val="00EE3538"/>
    <w:rsid w:val="00EE4958"/>
    <w:rsid w:val="00EE77B7"/>
    <w:rsid w:val="00EF76B3"/>
    <w:rsid w:val="00F003D9"/>
    <w:rsid w:val="00F2074C"/>
    <w:rsid w:val="00F22EF9"/>
    <w:rsid w:val="00F5001E"/>
    <w:rsid w:val="00F55BE7"/>
    <w:rsid w:val="00F77ADB"/>
    <w:rsid w:val="00F97AFE"/>
    <w:rsid w:val="00FC4445"/>
    <w:rsid w:val="00FE338A"/>
    <w:rsid w:val="00FE45D2"/>
    <w:rsid w:val="03DB088C"/>
    <w:rsid w:val="04C21B1F"/>
    <w:rsid w:val="34EC5A3A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rFonts w:ascii="Times New Roman" w:hAnsi="Times New Roman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00"/>
      <w:u w:val="none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</Template>
  <Company>微软中国</Company>
  <Pages>4</Pages>
  <Words>337</Words>
  <Characters>1923</Characters>
  <Lines>16</Lines>
  <Paragraphs>4</Paragraphs>
  <TotalTime>44</TotalTime>
  <ScaleCrop>false</ScaleCrop>
  <LinksUpToDate>false</LinksUpToDate>
  <CharactersWithSpaces>2256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2023-10-19T00:27:00Z</dcterms:created>
  <dc:creator>超级奶爸</dc:creator>
  <cp:lastModifiedBy>紫色水晶1389355346</cp:lastModifiedBy>
  <cp:lastPrinted>2023-10-24T13:00:00Z</cp:lastPrinted>
  <dcterms:modified xsi:type="dcterms:W3CDTF">2024-01-18T01:19:29Z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322B689442AF4F13A6A33BCE091C89BA_12</vt:lpwstr>
  </property>
</Properties>
</file>